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6A" w:rsidRDefault="00CF4F6A" w:rsidP="00CF4F6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006307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1</w:t>
      </w:r>
    </w:p>
    <w:p w:rsidR="00CF4F6A" w:rsidRPr="00242010" w:rsidRDefault="00CF4F6A" w:rsidP="00CF4F6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</w:p>
    <w:p w:rsidR="00CF4F6A" w:rsidRPr="002B0772" w:rsidRDefault="00CF4F6A" w:rsidP="00CF4F6A">
      <w:pPr>
        <w:spacing w:line="64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</w:pP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中国农学会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***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分会</w:t>
      </w:r>
    </w:p>
    <w:p w:rsidR="00CF4F6A" w:rsidRPr="002B0772" w:rsidRDefault="00CF4F6A" w:rsidP="00CF4F6A">
      <w:pPr>
        <w:spacing w:line="64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202</w:t>
      </w:r>
      <w:r w:rsidR="00957CE3">
        <w:rPr>
          <w:rFonts w:ascii="Times New Roman" w:eastAsia="华文中宋" w:hAnsi="Times New Roman" w:cs="Times New Roman" w:hint="eastAsia"/>
          <w:b/>
          <w:color w:val="000000" w:themeColor="text1"/>
          <w:sz w:val="44"/>
          <w:szCs w:val="44"/>
        </w:rPr>
        <w:t>2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年工作情况总结和</w:t>
      </w:r>
      <w:r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202</w:t>
      </w:r>
      <w:r w:rsidR="00957CE3">
        <w:rPr>
          <w:rFonts w:ascii="Times New Roman" w:eastAsia="华文中宋" w:hAnsi="Times New Roman" w:cs="Times New Roman" w:hint="eastAsia"/>
          <w:b/>
          <w:color w:val="000000" w:themeColor="text1"/>
          <w:sz w:val="44"/>
          <w:szCs w:val="44"/>
        </w:rPr>
        <w:t>3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年工作计划</w:t>
      </w:r>
    </w:p>
    <w:p w:rsidR="00CF4F6A" w:rsidRPr="002B0772" w:rsidRDefault="00CF4F6A" w:rsidP="00CF4F6A">
      <w:pPr>
        <w:spacing w:line="640" w:lineRule="exact"/>
        <w:ind w:firstLineChars="200" w:firstLine="64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" w:hAnsi="仿宋" w:cs="Times New Roman"/>
          <w:color w:val="000000" w:themeColor="text1"/>
          <w:sz w:val="32"/>
          <w:szCs w:val="32"/>
        </w:rPr>
        <w:t>（参考格式）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按照中国农学会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年工作计划，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分会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紧紧围绕中心工作，夯实分会组织体系建设、搭建学术交流平台、积极发展和服务会员，顺利完成了预定的各项工作任务。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150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字左右，供参考）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年工作总结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（各分会将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年所开展的业务工作分别按以下类别总结。如开展的工作有差异，可自行增减。）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（一）组织建设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字，主要包括换届情况、常务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委员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会、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委员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会召开情况以及其他组织体系建设相关工作。）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（二）学术交流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字，主要包括召开的研讨会、论坛等学术会议情况以及其他学术交流相关工作。）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字，主要包括会员的发展情况、向会员提供服务的情况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（四）期刊出版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字，主要包括期刊编辑出版情况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字，主要包括举办的培训班情况以及其他教育培训相关工作。）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字，主要包括开展的调查研究、编制的研究报告、形成的政策建议以及其他研究咨询相关工作。）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字，主要包括开展的科普活动以及其他科学普及相关工作。）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本专业领域人才国际组织任职情况、牵头成立</w:t>
      </w:r>
      <w:r w:rsidR="00C37399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或参加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国际组织情况、组织召开的国际性会议以及其他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国际合作交流相关工作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主要包括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开展的其他业务工作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年工作计划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分会总体工作思路是：（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字左右）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年度工作</w:t>
      </w:r>
      <w:bookmarkStart w:id="0" w:name="_GoBack"/>
      <w:bookmarkEnd w:id="0"/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应按照以下类别分别提出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，每项类别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字左右。</w:t>
      </w:r>
      <w:proofErr w:type="gramStart"/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如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拟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开展</w:t>
      </w:r>
      <w:proofErr w:type="gramEnd"/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的工作有差异，可自行增减。）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（一）组织建设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（二）学术交流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（四）期刊出版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:rsidR="00CF4F6A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</w:t>
      </w:r>
    </w:p>
    <w:p w:rsidR="00CF4F6A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在上述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全面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总结的基础上，提供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字以内的压缩版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</w:t>
      </w:r>
      <w:r w:rsidR="00957CE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工作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总结稿（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用于上报民政部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年检材料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使用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:rsidR="00CF4F6A" w:rsidRPr="00655410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排版格式要求。正文首行缩进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字符，行距固定值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磅，缩进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字符，间距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字符；大标题华文中宋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号加粗，居中；一级标题黑体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号；二级标题楷体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号加粗；正文仿宋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号。</w:t>
      </w:r>
    </w:p>
    <w:p w:rsidR="00CF4F6A" w:rsidRPr="00FD14CA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4F6A" w:rsidRPr="00FD14CA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4F6A" w:rsidRPr="00A27F76" w:rsidRDefault="00CF4F6A" w:rsidP="00CF4F6A"/>
    <w:p w:rsidR="0068571F" w:rsidRPr="00CF4F6A" w:rsidRDefault="002F4423"/>
    <w:sectPr w:rsidR="0068571F" w:rsidRPr="00CF4F6A" w:rsidSect="0036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23" w:rsidRDefault="002F4423" w:rsidP="00CF4F6A">
      <w:r>
        <w:separator/>
      </w:r>
    </w:p>
  </w:endnote>
  <w:endnote w:type="continuationSeparator" w:id="0">
    <w:p w:rsidR="002F4423" w:rsidRDefault="002F4423" w:rsidP="00CF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23" w:rsidRDefault="002F4423" w:rsidP="00CF4F6A">
      <w:r>
        <w:separator/>
      </w:r>
    </w:p>
  </w:footnote>
  <w:footnote w:type="continuationSeparator" w:id="0">
    <w:p w:rsidR="002F4423" w:rsidRDefault="002F4423" w:rsidP="00CF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C97"/>
    <w:rsid w:val="002F4423"/>
    <w:rsid w:val="003616F8"/>
    <w:rsid w:val="006647CD"/>
    <w:rsid w:val="00680B72"/>
    <w:rsid w:val="008E70C7"/>
    <w:rsid w:val="00957CE3"/>
    <w:rsid w:val="00AD2C97"/>
    <w:rsid w:val="00C37399"/>
    <w:rsid w:val="00CF4F6A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A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F4F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A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F4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DUY</cp:lastModifiedBy>
  <cp:revision>5</cp:revision>
  <dcterms:created xsi:type="dcterms:W3CDTF">2021-12-01T08:23:00Z</dcterms:created>
  <dcterms:modified xsi:type="dcterms:W3CDTF">2022-12-06T07:38:00Z</dcterms:modified>
</cp:coreProperties>
</file>